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eastAsia="MS Mincho" w:cs="Arial"/>
          <w:b/>
          <w:sz w:val="24"/>
          <w:szCs w:val="24"/>
        </w:rPr>
        <w:tab/>
      </w:r>
      <w:bookmarkStart w:id="0" w:name="_GoBack"/>
      <w:r>
        <w:rPr>
          <w:rFonts w:ascii="Arial" w:hAnsi="Arial" w:eastAsia="MS Mincho" w:cs="Arial"/>
          <w:b/>
          <w:sz w:val="24"/>
          <w:szCs w:val="24"/>
        </w:rPr>
        <w:t>R4-2220708</w:t>
      </w:r>
      <w:r>
        <w:rPr>
          <w:rFonts w:ascii="Arial" w:hAnsi="Arial" w:eastAsia="MS Mincho" w:cs="Arial"/>
          <w:b/>
          <w:sz w:val="24"/>
          <w:szCs w:val="24"/>
        </w:rPr>
        <w:t xml:space="preserve"> </w:t>
      </w:r>
      <w:bookmarkEnd w:id="0"/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Toulouse, France,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14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18 Nov</w:t>
      </w:r>
      <w:r>
        <w:rPr>
          <w:rFonts w:ascii="Arial" w:hAnsi="Arial"/>
          <w:b/>
          <w:sz w:val="24"/>
          <w:szCs w:val="24"/>
          <w:lang w:eastAsia="zh-CN"/>
        </w:rPr>
        <w:t xml:space="preserve"> 2022</w:t>
      </w: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on NR Network-controlled Repeaters RRM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ascii="Arial" w:hAnsi="Arial" w:cs="Arial"/>
          <w:sz w:val="22"/>
          <w:lang w:eastAsia="zh-CN"/>
        </w:rPr>
        <w:t>8.</w:t>
      </w:r>
      <w:r>
        <w:rPr>
          <w:rFonts w:hint="eastAsia" w:ascii="Arial" w:hAnsi="Arial" w:cs="Arial"/>
          <w:sz w:val="22"/>
          <w:lang w:val="en-US" w:eastAsia="zh-CN"/>
        </w:rPr>
        <w:t>25</w:t>
      </w:r>
      <w:r>
        <w:rPr>
          <w:rFonts w:ascii="Arial" w:hAnsi="Arial" w:cs="Arial"/>
          <w:sz w:val="22"/>
          <w:lang w:eastAsia="zh-CN"/>
        </w:rPr>
        <w:t>.</w:t>
      </w:r>
      <w:r>
        <w:rPr>
          <w:rFonts w:hint="eastAsia" w:ascii="Arial" w:hAnsi="Arial" w:cs="Arial"/>
          <w:sz w:val="22"/>
          <w:lang w:val="en-US" w:eastAsia="zh-CN"/>
        </w:rPr>
        <w:t>4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</w:pPr>
      <w:r>
        <w:rPr>
          <w:rFonts w:hint="eastAsia"/>
          <w:sz w:val="28"/>
          <w:szCs w:val="28"/>
          <w:lang w:val="en-US" w:eastAsia="zh-CN"/>
        </w:rPr>
        <w:t>Agreement</w:t>
      </w:r>
    </w:p>
    <w:p>
      <w:pPr>
        <w:rPr>
          <w:u w:val="single"/>
          <w:lang w:val="en-US"/>
        </w:rPr>
      </w:pPr>
      <w:r>
        <w:rPr>
          <w:u w:val="single"/>
          <w:lang w:val="en-US"/>
        </w:rPr>
        <w:t xml:space="preserve">Issue 1-1: Cell selection requirement for NCR-MT  </w:t>
      </w:r>
    </w:p>
    <w:p>
      <w:pPr>
        <w:pStyle w:val="87"/>
        <w:numPr>
          <w:ilvl w:val="0"/>
          <w:numId w:val="2"/>
        </w:numPr>
        <w:rPr>
          <w:highlight w:val="green"/>
        </w:rPr>
      </w:pPr>
      <w:r>
        <w:rPr>
          <w:highlight w:val="green"/>
        </w:rPr>
        <w:t>Agreements</w:t>
      </w:r>
    </w:p>
    <w:p>
      <w:pPr>
        <w:pStyle w:val="87"/>
        <w:numPr>
          <w:ilvl w:val="1"/>
          <w:numId w:val="2"/>
        </w:numPr>
        <w:rPr>
          <w:highlight w:val="green"/>
        </w:rPr>
      </w:pPr>
      <w:r>
        <w:rPr>
          <w:highlight w:val="green"/>
        </w:rPr>
        <w:t>Do not define RRM requirement for cell selection of NCR-MT</w:t>
      </w:r>
    </w:p>
    <w:p>
      <w:pPr>
        <w:rPr>
          <w:highlight w:val="green"/>
        </w:rPr>
      </w:pPr>
    </w:p>
    <w:p>
      <w:pPr>
        <w:rPr>
          <w:u w:val="single"/>
          <w:lang w:val="en-US"/>
        </w:rPr>
      </w:pPr>
      <w:r>
        <w:rPr>
          <w:u w:val="single"/>
          <w:lang w:val="en-US"/>
        </w:rPr>
        <w:t xml:space="preserve">Issue </w:t>
      </w:r>
      <w:r>
        <w:rPr>
          <w:rFonts w:hint="eastAsia"/>
          <w:u w:val="single"/>
          <w:lang w:val="en-US"/>
        </w:rPr>
        <w:t>2</w:t>
      </w:r>
      <w:r>
        <w:rPr>
          <w:u w:val="single"/>
          <w:lang w:val="en-US"/>
        </w:rPr>
        <w:t>-</w:t>
      </w:r>
      <w:r>
        <w:rPr>
          <w:rFonts w:hint="eastAsia"/>
          <w:u w:val="single"/>
          <w:lang w:val="en-US"/>
        </w:rPr>
        <w:t>1</w:t>
      </w:r>
      <w:r>
        <w:rPr>
          <w:u w:val="single"/>
          <w:lang w:val="en-US"/>
        </w:rPr>
        <w:t>:</w:t>
      </w:r>
      <w:r>
        <w:rPr>
          <w:rFonts w:hint="eastAsia"/>
          <w:u w:val="single"/>
          <w:lang w:val="en-US"/>
        </w:rPr>
        <w:t xml:space="preserve"> transmit timing requirement for NCR-MT</w:t>
      </w:r>
      <w:r>
        <w:rPr>
          <w:u w:val="single"/>
          <w:lang w:val="en-US"/>
        </w:rPr>
        <w:t xml:space="preserve"> </w:t>
      </w:r>
      <w:r>
        <w:rPr>
          <w:rFonts w:hint="eastAsia"/>
          <w:u w:val="single"/>
          <w:lang w:val="en-US"/>
        </w:rPr>
        <w:t xml:space="preserve"> </w:t>
      </w:r>
    </w:p>
    <w:p>
      <w:pPr>
        <w:pStyle w:val="87"/>
        <w:numPr>
          <w:ilvl w:val="0"/>
          <w:numId w:val="2"/>
        </w:numPr>
        <w:rPr>
          <w:highlight w:val="green"/>
        </w:rPr>
      </w:pPr>
      <w:r>
        <w:rPr>
          <w:highlight w:val="green"/>
        </w:rPr>
        <w:t>Agreement</w:t>
      </w:r>
    </w:p>
    <w:p>
      <w:pPr>
        <w:pStyle w:val="87"/>
        <w:numPr>
          <w:ilvl w:val="1"/>
          <w:numId w:val="2"/>
        </w:numPr>
        <w:rPr>
          <w:highlight w:val="green"/>
        </w:rPr>
      </w:pPr>
      <w:r>
        <w:rPr>
          <w:highlight w:val="green"/>
        </w:rPr>
        <w:t>Further discuss and define, if necessary, NCR-MT timing requirements based on further RAN1/RAN2 progress</w:t>
      </w:r>
    </w:p>
    <w:p>
      <w:pPr>
        <w:pStyle w:val="87"/>
        <w:numPr>
          <w:ilvl w:val="1"/>
          <w:numId w:val="2"/>
        </w:numPr>
        <w:rPr>
          <w:highlight w:val="green"/>
        </w:rPr>
      </w:pPr>
      <w:r>
        <w:rPr>
          <w:highlight w:val="green"/>
        </w:rPr>
        <w:t xml:space="preserve">Candidate requirements include </w:t>
      </w:r>
    </w:p>
    <w:p>
      <w:pPr>
        <w:pStyle w:val="87"/>
        <w:numPr>
          <w:ilvl w:val="2"/>
          <w:numId w:val="2"/>
        </w:numPr>
        <w:rPr>
          <w:highlight w:val="green"/>
        </w:rPr>
      </w:pPr>
      <w:r>
        <w:rPr>
          <w:rFonts w:hint="eastAsia"/>
          <w:highlight w:val="green"/>
        </w:rPr>
        <w:t>NCR transmit timing</w:t>
      </w:r>
      <w:r>
        <w:rPr>
          <w:highlight w:val="green"/>
        </w:rPr>
        <w:t xml:space="preserve"> (Te and gradual timing adjustment)</w:t>
      </w:r>
    </w:p>
    <w:p>
      <w:pPr>
        <w:pStyle w:val="87"/>
        <w:numPr>
          <w:ilvl w:val="2"/>
          <w:numId w:val="2"/>
        </w:numPr>
        <w:rPr>
          <w:highlight w:val="green"/>
        </w:rPr>
      </w:pPr>
      <w:r>
        <w:rPr>
          <w:rFonts w:hint="eastAsia"/>
          <w:highlight w:val="green"/>
        </w:rPr>
        <w:t>NCR timer accuracy</w:t>
      </w:r>
    </w:p>
    <w:p>
      <w:pPr>
        <w:pStyle w:val="87"/>
        <w:numPr>
          <w:ilvl w:val="2"/>
          <w:numId w:val="2"/>
        </w:numPr>
        <w:rPr>
          <w:highlight w:val="green"/>
        </w:rPr>
      </w:pPr>
      <w:r>
        <w:rPr>
          <w:rFonts w:hint="eastAsia"/>
          <w:highlight w:val="green"/>
        </w:rPr>
        <w:t>Timing advance</w:t>
      </w:r>
    </w:p>
    <w:p>
      <w:pPr>
        <w:pStyle w:val="87"/>
        <w:numPr>
          <w:ilvl w:val="0"/>
          <w:numId w:val="0"/>
        </w:numPr>
        <w:ind w:leftChars="200"/>
        <w:rPr>
          <w:highlight w:val="green"/>
        </w:rPr>
      </w:pPr>
    </w:p>
    <w:p>
      <w:pPr>
        <w:rPr>
          <w:u w:val="single"/>
          <w:lang w:val="en-US"/>
        </w:rPr>
      </w:pPr>
      <w:r>
        <w:rPr>
          <w:u w:val="single"/>
          <w:lang w:val="en-US"/>
        </w:rPr>
        <w:t xml:space="preserve">Issue </w:t>
      </w:r>
      <w:r>
        <w:rPr>
          <w:rFonts w:hint="eastAsia"/>
          <w:u w:val="single"/>
          <w:lang w:val="en-US"/>
        </w:rPr>
        <w:t>3</w:t>
      </w:r>
      <w:r>
        <w:rPr>
          <w:u w:val="single"/>
          <w:lang w:val="en-US"/>
        </w:rPr>
        <w:t>-</w:t>
      </w:r>
      <w:r>
        <w:rPr>
          <w:rFonts w:hint="eastAsia"/>
          <w:u w:val="single"/>
          <w:lang w:val="en-US"/>
        </w:rPr>
        <w:t>1</w:t>
      </w:r>
      <w:r>
        <w:rPr>
          <w:u w:val="single"/>
          <w:lang w:val="en-US"/>
        </w:rPr>
        <w:t>:</w:t>
      </w:r>
      <w:r>
        <w:rPr>
          <w:rFonts w:hint="eastAsia"/>
          <w:u w:val="single"/>
          <w:lang w:val="en-US"/>
        </w:rPr>
        <w:t xml:space="preserve"> adaptive beamforming for NCR-MT</w:t>
      </w:r>
      <w:r>
        <w:rPr>
          <w:u w:val="single"/>
          <w:lang w:val="en-US"/>
        </w:rPr>
        <w:t xml:space="preserve"> </w:t>
      </w:r>
      <w:r>
        <w:rPr>
          <w:rFonts w:hint="eastAsia"/>
          <w:u w:val="single"/>
          <w:lang w:val="en-US"/>
        </w:rPr>
        <w:t xml:space="preserve"> </w:t>
      </w:r>
    </w:p>
    <w:p>
      <w:pPr>
        <w:pStyle w:val="87"/>
        <w:numPr>
          <w:ilvl w:val="0"/>
          <w:numId w:val="3"/>
        </w:numPr>
        <w:rPr>
          <w:highlight w:val="green"/>
        </w:rPr>
      </w:pPr>
      <w:r>
        <w:rPr>
          <w:highlight w:val="green"/>
        </w:rPr>
        <w:t>Agreements</w:t>
      </w:r>
    </w:p>
    <w:p>
      <w:pPr>
        <w:pStyle w:val="87"/>
        <w:numPr>
          <w:ilvl w:val="1"/>
          <w:numId w:val="3"/>
        </w:numPr>
        <w:rPr>
          <w:highlight w:val="green"/>
        </w:rPr>
      </w:pPr>
      <w:r>
        <w:rPr>
          <w:highlight w:val="green"/>
        </w:rPr>
        <w:t xml:space="preserve">Further discuss and define, if necessary, NCR-MT </w:t>
      </w:r>
      <w:r>
        <w:rPr>
          <w:rFonts w:hint="eastAsia"/>
          <w:highlight w:val="green"/>
        </w:rPr>
        <w:t>beam management related</w:t>
      </w:r>
      <w:r>
        <w:rPr>
          <w:highlight w:val="green"/>
        </w:rPr>
        <w:t xml:space="preserve"> requirements based on further RAN1/RAN2 progress. </w:t>
      </w:r>
    </w:p>
    <w:p>
      <w:pPr>
        <w:pStyle w:val="87"/>
        <w:numPr>
          <w:ilvl w:val="1"/>
          <w:numId w:val="3"/>
        </w:numPr>
        <w:rPr>
          <w:highlight w:val="green"/>
        </w:rPr>
      </w:pPr>
      <w:r>
        <w:rPr>
          <w:highlight w:val="green"/>
        </w:rPr>
        <w:t xml:space="preserve">Candidate requirements include </w:t>
      </w:r>
    </w:p>
    <w:p>
      <w:pPr>
        <w:pStyle w:val="87"/>
        <w:numPr>
          <w:ilvl w:val="2"/>
          <w:numId w:val="3"/>
        </w:numPr>
        <w:spacing w:line="260" w:lineRule="auto"/>
        <w:rPr>
          <w:highlight w:val="green"/>
        </w:rPr>
      </w:pPr>
      <w:r>
        <w:rPr>
          <w:rFonts w:hint="eastAsia"/>
          <w:highlight w:val="green"/>
        </w:rPr>
        <w:t>Active TCI state switching delay</w:t>
      </w:r>
    </w:p>
    <w:p>
      <w:pPr>
        <w:pStyle w:val="87"/>
        <w:numPr>
          <w:ilvl w:val="2"/>
          <w:numId w:val="3"/>
        </w:numPr>
        <w:spacing w:line="260" w:lineRule="auto"/>
        <w:rPr>
          <w:highlight w:val="green"/>
        </w:rPr>
      </w:pPr>
      <w:r>
        <w:rPr>
          <w:rFonts w:hint="eastAsia"/>
          <w:highlight w:val="green"/>
        </w:rPr>
        <w:t>Uplink spatial relation switch delay</w:t>
      </w:r>
    </w:p>
    <w:p>
      <w:pPr>
        <w:pStyle w:val="87"/>
        <w:numPr>
          <w:ilvl w:val="2"/>
          <w:numId w:val="3"/>
        </w:numPr>
        <w:spacing w:line="260" w:lineRule="auto"/>
        <w:rPr>
          <w:highlight w:val="green"/>
        </w:rPr>
      </w:pPr>
      <w:r>
        <w:rPr>
          <w:rFonts w:hint="eastAsia"/>
          <w:highlight w:val="green"/>
        </w:rPr>
        <w:t>Active downlink TCI switching delay for unified TCI</w:t>
      </w:r>
    </w:p>
    <w:p>
      <w:pPr>
        <w:pStyle w:val="87"/>
        <w:numPr>
          <w:ilvl w:val="2"/>
          <w:numId w:val="3"/>
        </w:numPr>
        <w:spacing w:line="260" w:lineRule="auto"/>
        <w:rPr>
          <w:highlight w:val="green"/>
        </w:rPr>
      </w:pPr>
      <w:r>
        <w:rPr>
          <w:rFonts w:hint="eastAsia"/>
          <w:highlight w:val="green"/>
        </w:rPr>
        <w:t>Active uplink TCI switching delay for unified TCI</w:t>
      </w:r>
    </w:p>
    <w:p>
      <w:pPr>
        <w:pStyle w:val="87"/>
        <w:numPr>
          <w:ilvl w:val="2"/>
          <w:numId w:val="3"/>
        </w:numPr>
        <w:spacing w:line="260" w:lineRule="auto"/>
        <w:rPr>
          <w:highlight w:val="green"/>
        </w:rPr>
      </w:pPr>
      <w:r>
        <w:rPr>
          <w:rFonts w:hint="eastAsia"/>
          <w:highlight w:val="green"/>
        </w:rPr>
        <w:t>L1-RSRP measurement and reporting</w:t>
      </w:r>
    </w:p>
    <w:p>
      <w:pPr>
        <w:pStyle w:val="87"/>
        <w:numPr>
          <w:ilvl w:val="1"/>
          <w:numId w:val="3"/>
        </w:numPr>
        <w:spacing w:line="260" w:lineRule="auto"/>
        <w:rPr>
          <w:highlight w:val="green"/>
        </w:rPr>
      </w:pPr>
      <w:r>
        <w:rPr>
          <w:highlight w:val="green"/>
        </w:rPr>
        <w:t>FFS on requirements applicability to different NCR classes</w:t>
      </w:r>
    </w:p>
    <w:p>
      <w:pPr>
        <w:rPr>
          <w:rFonts w:ascii="Arial" w:hAnsi="Arial" w:cs="Arial"/>
          <w:b/>
          <w:color w:val="C00000"/>
          <w:u w:val="single"/>
          <w:lang w:eastAsia="zh-CN"/>
        </w:rPr>
      </w:pPr>
    </w:p>
    <w:p>
      <w:pPr>
        <w:rPr>
          <w:u w:val="single"/>
          <w:lang w:val="en-US"/>
        </w:rPr>
      </w:pPr>
      <w:r>
        <w:rPr>
          <w:u w:val="single"/>
          <w:lang w:val="en-US"/>
        </w:rPr>
        <w:t xml:space="preserve">Issue </w:t>
      </w:r>
      <w:r>
        <w:rPr>
          <w:rFonts w:hint="eastAsia"/>
          <w:u w:val="single"/>
          <w:lang w:val="en-US"/>
        </w:rPr>
        <w:t>4</w:t>
      </w:r>
      <w:r>
        <w:rPr>
          <w:u w:val="single"/>
          <w:lang w:val="en-US"/>
        </w:rPr>
        <w:t>-</w:t>
      </w:r>
      <w:r>
        <w:rPr>
          <w:rFonts w:hint="eastAsia"/>
          <w:u w:val="single"/>
          <w:lang w:val="en-US"/>
        </w:rPr>
        <w:t>1</w:t>
      </w:r>
      <w:r>
        <w:rPr>
          <w:u w:val="single"/>
          <w:lang w:val="en-US"/>
        </w:rPr>
        <w:t>:</w:t>
      </w:r>
      <w:r>
        <w:rPr>
          <w:rFonts w:hint="eastAsia"/>
          <w:u w:val="single"/>
          <w:lang w:val="en-US"/>
        </w:rPr>
        <w:t xml:space="preserve"> cell phase synchronization for NCR </w:t>
      </w:r>
    </w:p>
    <w:p>
      <w:pPr>
        <w:pStyle w:val="87"/>
        <w:numPr>
          <w:ilvl w:val="0"/>
          <w:numId w:val="3"/>
        </w:numPr>
        <w:rPr>
          <w:highlight w:val="green"/>
        </w:rPr>
      </w:pPr>
      <w:r>
        <w:rPr>
          <w:highlight w:val="green"/>
        </w:rPr>
        <w:t>Agreements</w:t>
      </w:r>
    </w:p>
    <w:p>
      <w:pPr>
        <w:pStyle w:val="87"/>
        <w:numPr>
          <w:ilvl w:val="1"/>
          <w:numId w:val="3"/>
        </w:numPr>
        <w:rPr>
          <w:highlight w:val="green"/>
        </w:rPr>
      </w:pPr>
      <w:r>
        <w:rPr>
          <w:highlight w:val="green"/>
        </w:rPr>
        <w:t>Do</w:t>
      </w:r>
      <w:r>
        <w:rPr>
          <w:rFonts w:hint="eastAsia"/>
          <w:highlight w:val="green"/>
        </w:rPr>
        <w:t xml:space="preserve"> not define </w:t>
      </w:r>
      <w:r>
        <w:rPr>
          <w:highlight w:val="green"/>
        </w:rPr>
        <w:t>RRM requirements on c</w:t>
      </w:r>
      <w:r>
        <w:rPr>
          <w:rFonts w:hint="eastAsia"/>
          <w:highlight w:val="green"/>
        </w:rPr>
        <w:t>ell phase synchronization accuracy</w:t>
      </w:r>
      <w:r>
        <w:rPr>
          <w:highlight w:val="green"/>
        </w:rPr>
        <w:t xml:space="preserve"> </w:t>
      </w:r>
      <w:r>
        <w:rPr>
          <w:rFonts w:hint="eastAsia"/>
          <w:highlight w:val="green"/>
        </w:rPr>
        <w:t>for NCR nodes</w:t>
      </w:r>
    </w:p>
    <w:p>
      <w:pPr>
        <w:rPr>
          <w:rFonts w:ascii="Arial" w:hAnsi="Arial" w:cs="Arial"/>
          <w:b/>
          <w:color w:val="C00000"/>
          <w:u w:val="single"/>
          <w:lang w:eastAsia="zh-CN"/>
        </w:rPr>
      </w:pPr>
    </w:p>
    <w:p>
      <w:pPr>
        <w:keepNext/>
        <w:keepLines/>
        <w:ind w:left="720" w:hanging="360"/>
        <w:rPr>
          <w:b/>
          <w:u w:val="single"/>
        </w:rPr>
      </w:pPr>
    </w:p>
    <w:p>
      <w:pPr>
        <w:pStyle w:val="87"/>
        <w:spacing w:after="120"/>
        <w:ind w:firstLine="0" w:firstLineChars="0"/>
        <w:rPr>
          <w:rFonts w:hint="default" w:eastAsiaTheme="minorEastAsia"/>
          <w:color w:val="0070C0"/>
          <w:szCs w:val="20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B545A"/>
    <w:multiLevelType w:val="multilevel"/>
    <w:tmpl w:val="1FCB545A"/>
    <w:lvl w:ilvl="0" w:tentative="0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entative="0">
      <w:start w:val="0"/>
      <w:numFmt w:val="bullet"/>
      <w:lvlText w:val="•"/>
      <w:lvlJc w:val="left"/>
      <w:pPr>
        <w:ind w:left="3660" w:hanging="360"/>
      </w:pPr>
      <w:rPr>
        <w:rFonts w:hint="default" w:ascii="Times New Roman" w:hAnsi="Times New Roman" w:eastAsia="Times New Roman" w:cs="Times New Roman"/>
      </w:rPr>
    </w:lvl>
    <w:lvl w:ilvl="5" w:tentative="0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2376" w:hanging="360"/>
      </w:pPr>
      <w:rPr>
        <w:rFonts w:hint="default" w:ascii="Symbol" w:hAnsi="Symbol"/>
      </w:rPr>
    </w:lvl>
    <w:lvl w:ilvl="3" w:tentative="0">
      <w:start w:val="1"/>
      <w:numFmt w:val="bullet"/>
      <w:lvlText w:val="o"/>
      <w:lvlJc w:val="left"/>
      <w:pPr>
        <w:ind w:left="3096" w:hanging="360"/>
      </w:pPr>
      <w:rPr>
        <w:rFonts w:hint="default" w:ascii="Courier New" w:hAnsi="Courier New" w:cs="Courier New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E4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A379F7"/>
    <w:rsid w:val="01A56FAB"/>
    <w:rsid w:val="02207A05"/>
    <w:rsid w:val="023114DC"/>
    <w:rsid w:val="029401D0"/>
    <w:rsid w:val="02977181"/>
    <w:rsid w:val="02C75875"/>
    <w:rsid w:val="033676B5"/>
    <w:rsid w:val="0360625D"/>
    <w:rsid w:val="03A23123"/>
    <w:rsid w:val="03A80371"/>
    <w:rsid w:val="040B2E26"/>
    <w:rsid w:val="04573544"/>
    <w:rsid w:val="04A33028"/>
    <w:rsid w:val="04A8786A"/>
    <w:rsid w:val="04C21305"/>
    <w:rsid w:val="05D52A67"/>
    <w:rsid w:val="062731F7"/>
    <w:rsid w:val="063467E5"/>
    <w:rsid w:val="067D2939"/>
    <w:rsid w:val="067E7AFF"/>
    <w:rsid w:val="069A4DB8"/>
    <w:rsid w:val="06AD6DB1"/>
    <w:rsid w:val="06E67E52"/>
    <w:rsid w:val="06F90C69"/>
    <w:rsid w:val="072C24E3"/>
    <w:rsid w:val="075C7D27"/>
    <w:rsid w:val="081852B6"/>
    <w:rsid w:val="088C71C9"/>
    <w:rsid w:val="090F1D8C"/>
    <w:rsid w:val="096C5763"/>
    <w:rsid w:val="09AC4191"/>
    <w:rsid w:val="0A467BD4"/>
    <w:rsid w:val="0A7A3A6F"/>
    <w:rsid w:val="0AB35C28"/>
    <w:rsid w:val="0AC70E4D"/>
    <w:rsid w:val="0B1B407F"/>
    <w:rsid w:val="0B861833"/>
    <w:rsid w:val="0C9639D1"/>
    <w:rsid w:val="0D1F5041"/>
    <w:rsid w:val="0D6D6260"/>
    <w:rsid w:val="0D6F3147"/>
    <w:rsid w:val="0DA4580A"/>
    <w:rsid w:val="0E2479EF"/>
    <w:rsid w:val="0E7C32F1"/>
    <w:rsid w:val="0F302047"/>
    <w:rsid w:val="0F9A6DFD"/>
    <w:rsid w:val="0FC21761"/>
    <w:rsid w:val="10370C76"/>
    <w:rsid w:val="10502D2C"/>
    <w:rsid w:val="114B0315"/>
    <w:rsid w:val="114F50F0"/>
    <w:rsid w:val="11513D9D"/>
    <w:rsid w:val="11A056A8"/>
    <w:rsid w:val="11A669BC"/>
    <w:rsid w:val="11CD4B5D"/>
    <w:rsid w:val="12184B7C"/>
    <w:rsid w:val="12562F4F"/>
    <w:rsid w:val="12A467FF"/>
    <w:rsid w:val="12E62365"/>
    <w:rsid w:val="131A32F7"/>
    <w:rsid w:val="13230798"/>
    <w:rsid w:val="13303256"/>
    <w:rsid w:val="133C24A6"/>
    <w:rsid w:val="141C5906"/>
    <w:rsid w:val="142D2518"/>
    <w:rsid w:val="14304C8C"/>
    <w:rsid w:val="14774D1A"/>
    <w:rsid w:val="148131EC"/>
    <w:rsid w:val="14E9666F"/>
    <w:rsid w:val="15147527"/>
    <w:rsid w:val="155D054E"/>
    <w:rsid w:val="15906F8D"/>
    <w:rsid w:val="15B6151F"/>
    <w:rsid w:val="15B67958"/>
    <w:rsid w:val="1638470C"/>
    <w:rsid w:val="16B769EB"/>
    <w:rsid w:val="17307051"/>
    <w:rsid w:val="17637892"/>
    <w:rsid w:val="17794CBF"/>
    <w:rsid w:val="17FF39FF"/>
    <w:rsid w:val="18217321"/>
    <w:rsid w:val="18615A28"/>
    <w:rsid w:val="1886040C"/>
    <w:rsid w:val="18B25C57"/>
    <w:rsid w:val="18B451EE"/>
    <w:rsid w:val="18E04972"/>
    <w:rsid w:val="19337DCC"/>
    <w:rsid w:val="1934677A"/>
    <w:rsid w:val="19453C57"/>
    <w:rsid w:val="19D04FD4"/>
    <w:rsid w:val="1AD15F16"/>
    <w:rsid w:val="1AEF678B"/>
    <w:rsid w:val="1B2D79CD"/>
    <w:rsid w:val="1C067DE7"/>
    <w:rsid w:val="1C91599E"/>
    <w:rsid w:val="1C9408FD"/>
    <w:rsid w:val="1D1835B6"/>
    <w:rsid w:val="1D32360A"/>
    <w:rsid w:val="1D741944"/>
    <w:rsid w:val="1D940B76"/>
    <w:rsid w:val="1D9416B2"/>
    <w:rsid w:val="1E140EA0"/>
    <w:rsid w:val="1EC919BF"/>
    <w:rsid w:val="1F7138F1"/>
    <w:rsid w:val="1F9B19AE"/>
    <w:rsid w:val="1FB73AAB"/>
    <w:rsid w:val="20153BA1"/>
    <w:rsid w:val="202835A9"/>
    <w:rsid w:val="20501486"/>
    <w:rsid w:val="20891E56"/>
    <w:rsid w:val="213F0D56"/>
    <w:rsid w:val="2148239E"/>
    <w:rsid w:val="216653B0"/>
    <w:rsid w:val="21864CB6"/>
    <w:rsid w:val="22202406"/>
    <w:rsid w:val="22956388"/>
    <w:rsid w:val="22A1313E"/>
    <w:rsid w:val="22B93021"/>
    <w:rsid w:val="234931CD"/>
    <w:rsid w:val="23792988"/>
    <w:rsid w:val="238508AF"/>
    <w:rsid w:val="24931E5E"/>
    <w:rsid w:val="24E710A5"/>
    <w:rsid w:val="24FD0C42"/>
    <w:rsid w:val="25001F1C"/>
    <w:rsid w:val="253B23BF"/>
    <w:rsid w:val="25E124ED"/>
    <w:rsid w:val="25F5608D"/>
    <w:rsid w:val="262A0FC5"/>
    <w:rsid w:val="267E0B13"/>
    <w:rsid w:val="27542B52"/>
    <w:rsid w:val="275814A9"/>
    <w:rsid w:val="2758282F"/>
    <w:rsid w:val="2759520B"/>
    <w:rsid w:val="28031259"/>
    <w:rsid w:val="28151B92"/>
    <w:rsid w:val="28C74028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D7184A"/>
    <w:rsid w:val="2D5F6EE1"/>
    <w:rsid w:val="2DD85514"/>
    <w:rsid w:val="2E2339D3"/>
    <w:rsid w:val="2E46730F"/>
    <w:rsid w:val="2E5C466B"/>
    <w:rsid w:val="2E643F62"/>
    <w:rsid w:val="2EB86A5A"/>
    <w:rsid w:val="2F8B1999"/>
    <w:rsid w:val="2F95455C"/>
    <w:rsid w:val="302442D9"/>
    <w:rsid w:val="303460F0"/>
    <w:rsid w:val="305808D2"/>
    <w:rsid w:val="31AE0F7B"/>
    <w:rsid w:val="32D73973"/>
    <w:rsid w:val="32F644CA"/>
    <w:rsid w:val="33024B42"/>
    <w:rsid w:val="337C596E"/>
    <w:rsid w:val="34166F07"/>
    <w:rsid w:val="34211DC3"/>
    <w:rsid w:val="34457C7B"/>
    <w:rsid w:val="34562BD9"/>
    <w:rsid w:val="349011AD"/>
    <w:rsid w:val="34B7420A"/>
    <w:rsid w:val="34E838FF"/>
    <w:rsid w:val="35CE36F4"/>
    <w:rsid w:val="36425C10"/>
    <w:rsid w:val="36545850"/>
    <w:rsid w:val="365509D9"/>
    <w:rsid w:val="36E376B5"/>
    <w:rsid w:val="374851A2"/>
    <w:rsid w:val="37A56745"/>
    <w:rsid w:val="37CB439B"/>
    <w:rsid w:val="38114253"/>
    <w:rsid w:val="38201F58"/>
    <w:rsid w:val="38E40EC7"/>
    <w:rsid w:val="38E46EE6"/>
    <w:rsid w:val="392A2EEE"/>
    <w:rsid w:val="397B2105"/>
    <w:rsid w:val="39992131"/>
    <w:rsid w:val="399D0C47"/>
    <w:rsid w:val="39F76E63"/>
    <w:rsid w:val="3A141F6C"/>
    <w:rsid w:val="3A165225"/>
    <w:rsid w:val="3A3A37F9"/>
    <w:rsid w:val="3A7C2502"/>
    <w:rsid w:val="3AA052FB"/>
    <w:rsid w:val="3B0F4575"/>
    <w:rsid w:val="3B375142"/>
    <w:rsid w:val="3B447DC6"/>
    <w:rsid w:val="3BA50EFF"/>
    <w:rsid w:val="3C916A88"/>
    <w:rsid w:val="3CA95CFB"/>
    <w:rsid w:val="3D2C3BFB"/>
    <w:rsid w:val="3D604A2D"/>
    <w:rsid w:val="3D636270"/>
    <w:rsid w:val="3D895406"/>
    <w:rsid w:val="3D946AC2"/>
    <w:rsid w:val="3DD526CA"/>
    <w:rsid w:val="3E217D33"/>
    <w:rsid w:val="3F3A5985"/>
    <w:rsid w:val="3F5B2C54"/>
    <w:rsid w:val="401B2443"/>
    <w:rsid w:val="408C5231"/>
    <w:rsid w:val="410913DA"/>
    <w:rsid w:val="41542A12"/>
    <w:rsid w:val="41940949"/>
    <w:rsid w:val="41D506BB"/>
    <w:rsid w:val="41EF7F1F"/>
    <w:rsid w:val="42AB5722"/>
    <w:rsid w:val="43205793"/>
    <w:rsid w:val="4321075F"/>
    <w:rsid w:val="4335357A"/>
    <w:rsid w:val="43D47DA0"/>
    <w:rsid w:val="43F438D8"/>
    <w:rsid w:val="44302DF3"/>
    <w:rsid w:val="44B40D3D"/>
    <w:rsid w:val="450B6A79"/>
    <w:rsid w:val="453B25F9"/>
    <w:rsid w:val="45B17F93"/>
    <w:rsid w:val="45DA3853"/>
    <w:rsid w:val="45FA07D0"/>
    <w:rsid w:val="467D52CE"/>
    <w:rsid w:val="46917266"/>
    <w:rsid w:val="47082F49"/>
    <w:rsid w:val="48297809"/>
    <w:rsid w:val="486A7EDB"/>
    <w:rsid w:val="48FE69A5"/>
    <w:rsid w:val="4930333B"/>
    <w:rsid w:val="49570114"/>
    <w:rsid w:val="49724F29"/>
    <w:rsid w:val="49934D61"/>
    <w:rsid w:val="4A7172F6"/>
    <w:rsid w:val="4B085909"/>
    <w:rsid w:val="4B991985"/>
    <w:rsid w:val="4B9C56DF"/>
    <w:rsid w:val="4BB12379"/>
    <w:rsid w:val="4BF837D2"/>
    <w:rsid w:val="4C401BFB"/>
    <w:rsid w:val="4CC40142"/>
    <w:rsid w:val="4CEA793E"/>
    <w:rsid w:val="4D0B415B"/>
    <w:rsid w:val="4D384C5E"/>
    <w:rsid w:val="4D3A3368"/>
    <w:rsid w:val="4D661BD9"/>
    <w:rsid w:val="4DF23AA7"/>
    <w:rsid w:val="4E0706ED"/>
    <w:rsid w:val="4E0B7D64"/>
    <w:rsid w:val="4E3C6CFA"/>
    <w:rsid w:val="4EB57F2A"/>
    <w:rsid w:val="4F441E2A"/>
    <w:rsid w:val="4F742231"/>
    <w:rsid w:val="4F85712F"/>
    <w:rsid w:val="4F9B779E"/>
    <w:rsid w:val="4FA10E05"/>
    <w:rsid w:val="5037224D"/>
    <w:rsid w:val="50912F82"/>
    <w:rsid w:val="50D40D95"/>
    <w:rsid w:val="51832F88"/>
    <w:rsid w:val="518F5CDD"/>
    <w:rsid w:val="521238CB"/>
    <w:rsid w:val="52A60C1E"/>
    <w:rsid w:val="53517A6B"/>
    <w:rsid w:val="53956DC5"/>
    <w:rsid w:val="53A03BFA"/>
    <w:rsid w:val="53A52556"/>
    <w:rsid w:val="53A96824"/>
    <w:rsid w:val="54A605D4"/>
    <w:rsid w:val="54D6764B"/>
    <w:rsid w:val="54F01EEF"/>
    <w:rsid w:val="55387FCD"/>
    <w:rsid w:val="555966F0"/>
    <w:rsid w:val="55940B01"/>
    <w:rsid w:val="55BF6693"/>
    <w:rsid w:val="562B6CEE"/>
    <w:rsid w:val="568E6375"/>
    <w:rsid w:val="56BC1ECE"/>
    <w:rsid w:val="57300C98"/>
    <w:rsid w:val="57431A44"/>
    <w:rsid w:val="5751351F"/>
    <w:rsid w:val="57F81E57"/>
    <w:rsid w:val="58505756"/>
    <w:rsid w:val="5895248C"/>
    <w:rsid w:val="58A70901"/>
    <w:rsid w:val="58E27CE2"/>
    <w:rsid w:val="58EF1764"/>
    <w:rsid w:val="599A3124"/>
    <w:rsid w:val="59C50A90"/>
    <w:rsid w:val="5A081611"/>
    <w:rsid w:val="5A7B667C"/>
    <w:rsid w:val="5A9C15E1"/>
    <w:rsid w:val="5AB318EC"/>
    <w:rsid w:val="5B4756A4"/>
    <w:rsid w:val="5C5A50A9"/>
    <w:rsid w:val="5CA21F53"/>
    <w:rsid w:val="5D166FA1"/>
    <w:rsid w:val="5D64614D"/>
    <w:rsid w:val="5D6F0A1C"/>
    <w:rsid w:val="5ED955F8"/>
    <w:rsid w:val="5F317902"/>
    <w:rsid w:val="5F645C40"/>
    <w:rsid w:val="5F952EAD"/>
    <w:rsid w:val="6018714A"/>
    <w:rsid w:val="6077058D"/>
    <w:rsid w:val="608D1FBB"/>
    <w:rsid w:val="60D661AE"/>
    <w:rsid w:val="614B0980"/>
    <w:rsid w:val="61B665C4"/>
    <w:rsid w:val="624108BA"/>
    <w:rsid w:val="62F31145"/>
    <w:rsid w:val="63AC0B80"/>
    <w:rsid w:val="64097ADA"/>
    <w:rsid w:val="640D4579"/>
    <w:rsid w:val="641A6450"/>
    <w:rsid w:val="641E03D0"/>
    <w:rsid w:val="645A59DA"/>
    <w:rsid w:val="64F1679F"/>
    <w:rsid w:val="6535386A"/>
    <w:rsid w:val="656E1EA5"/>
    <w:rsid w:val="66A41C30"/>
    <w:rsid w:val="67BC160E"/>
    <w:rsid w:val="67E003A2"/>
    <w:rsid w:val="68373100"/>
    <w:rsid w:val="68934EB5"/>
    <w:rsid w:val="68960123"/>
    <w:rsid w:val="68985CF0"/>
    <w:rsid w:val="68CD05A2"/>
    <w:rsid w:val="691E11BC"/>
    <w:rsid w:val="692C67D9"/>
    <w:rsid w:val="69356F95"/>
    <w:rsid w:val="695031C6"/>
    <w:rsid w:val="69A57B59"/>
    <w:rsid w:val="69EF54FA"/>
    <w:rsid w:val="6A841B52"/>
    <w:rsid w:val="6AC64296"/>
    <w:rsid w:val="6B1113EA"/>
    <w:rsid w:val="6B291AC2"/>
    <w:rsid w:val="6B771B7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675472"/>
    <w:rsid w:val="6E7B4B6C"/>
    <w:rsid w:val="6EBA4107"/>
    <w:rsid w:val="6ECD588F"/>
    <w:rsid w:val="6F0A3EB4"/>
    <w:rsid w:val="6F21030C"/>
    <w:rsid w:val="6F8D2E83"/>
    <w:rsid w:val="70025C90"/>
    <w:rsid w:val="70326F3D"/>
    <w:rsid w:val="704903B8"/>
    <w:rsid w:val="70C608BE"/>
    <w:rsid w:val="712F05F8"/>
    <w:rsid w:val="71503782"/>
    <w:rsid w:val="7159098D"/>
    <w:rsid w:val="71652EE0"/>
    <w:rsid w:val="71996A62"/>
    <w:rsid w:val="71C550FA"/>
    <w:rsid w:val="71FA68F4"/>
    <w:rsid w:val="72746F41"/>
    <w:rsid w:val="72DC6BEC"/>
    <w:rsid w:val="730D3329"/>
    <w:rsid w:val="731B117A"/>
    <w:rsid w:val="74453431"/>
    <w:rsid w:val="74600BBC"/>
    <w:rsid w:val="7480655E"/>
    <w:rsid w:val="74B963D7"/>
    <w:rsid w:val="75532172"/>
    <w:rsid w:val="756537CF"/>
    <w:rsid w:val="75A04E0F"/>
    <w:rsid w:val="75BD0535"/>
    <w:rsid w:val="760D3446"/>
    <w:rsid w:val="76237E13"/>
    <w:rsid w:val="763C35C2"/>
    <w:rsid w:val="76816645"/>
    <w:rsid w:val="76843750"/>
    <w:rsid w:val="76913F70"/>
    <w:rsid w:val="7697287F"/>
    <w:rsid w:val="771C1592"/>
    <w:rsid w:val="774F4848"/>
    <w:rsid w:val="778575B4"/>
    <w:rsid w:val="7797669F"/>
    <w:rsid w:val="77C07083"/>
    <w:rsid w:val="77D671B1"/>
    <w:rsid w:val="781900CE"/>
    <w:rsid w:val="784A24C1"/>
    <w:rsid w:val="7867307F"/>
    <w:rsid w:val="78881741"/>
    <w:rsid w:val="78A70FCA"/>
    <w:rsid w:val="78C90760"/>
    <w:rsid w:val="79272D7A"/>
    <w:rsid w:val="79635F91"/>
    <w:rsid w:val="796631F3"/>
    <w:rsid w:val="79C97DAC"/>
    <w:rsid w:val="79EF3A9F"/>
    <w:rsid w:val="7A0B60B0"/>
    <w:rsid w:val="7A4F45D9"/>
    <w:rsid w:val="7A515AE3"/>
    <w:rsid w:val="7A634335"/>
    <w:rsid w:val="7A9A10AC"/>
    <w:rsid w:val="7A9A1912"/>
    <w:rsid w:val="7B154E9F"/>
    <w:rsid w:val="7B7F6994"/>
    <w:rsid w:val="7B9E0993"/>
    <w:rsid w:val="7BF12B0C"/>
    <w:rsid w:val="7C1B749B"/>
    <w:rsid w:val="7CF746F0"/>
    <w:rsid w:val="7D190D9F"/>
    <w:rsid w:val="7D417001"/>
    <w:rsid w:val="7D7A6B81"/>
    <w:rsid w:val="7D8037CA"/>
    <w:rsid w:val="7E122E21"/>
    <w:rsid w:val="7E592FC9"/>
    <w:rsid w:val="7E5C3A73"/>
    <w:rsid w:val="7EDE6FA8"/>
    <w:rsid w:val="7EDF6B91"/>
    <w:rsid w:val="7EFE6536"/>
    <w:rsid w:val="7F9D3C46"/>
    <w:rsid w:val="7FD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390C5-A3DD-4E73-BAA6-FFCF50F070B3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112C941A-E0E2-49B2-AE14-A71704B58B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0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Xue1</cp:lastModifiedBy>
  <dcterms:modified xsi:type="dcterms:W3CDTF">2022-11-18T07:15:51Z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